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bidi w:val="1"/>
        <w:rPr>
          <w:rFonts w:ascii="Times" w:cs="Times" w:eastAsia="Times" w:hAnsi="Times"/>
          <w:sz w:val="26"/>
          <w:szCs w:val="26"/>
          <w:highlight w:val="white"/>
        </w:rPr>
      </w:pPr>
      <w:r w:rsidDel="00000000" w:rsidR="00000000" w:rsidRPr="00000000">
        <w:rPr>
          <w:rFonts w:ascii="Times" w:cs="Times" w:eastAsia="Times" w:hAnsi="Times"/>
          <w:sz w:val="26"/>
          <w:szCs w:val="26"/>
          <w:highlight w:val="white"/>
          <w:rtl w:val="1"/>
        </w:rPr>
        <w:t xml:space="preserve">בס</w:t>
      </w:r>
      <w:r w:rsidDel="00000000" w:rsidR="00000000" w:rsidRPr="00000000">
        <w:rPr>
          <w:rFonts w:ascii="Times" w:cs="Times" w:eastAsia="Times" w:hAnsi="Times"/>
          <w:sz w:val="26"/>
          <w:szCs w:val="26"/>
          <w:highlight w:val="white"/>
          <w:rtl w:val="1"/>
        </w:rPr>
        <w:t xml:space="preserve">"</w:t>
      </w:r>
      <w:r w:rsidDel="00000000" w:rsidR="00000000" w:rsidRPr="00000000">
        <w:rPr>
          <w:rFonts w:ascii="Times" w:cs="Times" w:eastAsia="Times" w:hAnsi="Times"/>
          <w:sz w:val="26"/>
          <w:szCs w:val="26"/>
          <w:highlight w:val="white"/>
          <w:rtl w:val="1"/>
        </w:rPr>
        <w:t xml:space="preserve">ד</w:t>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jc w:val="center"/>
        <w:rPr>
          <w:rFonts w:ascii="Times" w:cs="Times" w:eastAsia="Times" w:hAnsi="Times"/>
          <w:sz w:val="54"/>
          <w:szCs w:val="54"/>
          <w:highlight w:val="white"/>
        </w:rPr>
      </w:pPr>
      <w:r w:rsidDel="00000000" w:rsidR="00000000" w:rsidRPr="00000000">
        <w:rPr>
          <w:rFonts w:ascii="Times" w:cs="Times" w:eastAsia="Times" w:hAnsi="Times"/>
          <w:sz w:val="54"/>
          <w:szCs w:val="54"/>
          <w:highlight w:val="white"/>
          <w:rtl w:val="0"/>
        </w:rPr>
        <w:t xml:space="preserve">Shmitah in the Torah &amp; Beyond</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imes" w:cs="Times" w:eastAsia="Times" w:hAnsi="Times"/>
          <w:i w:val="1"/>
          <w:color w:val="333333"/>
          <w:highlight w:val="white"/>
        </w:rPr>
      </w:pPr>
      <w:r w:rsidDel="00000000" w:rsidR="00000000" w:rsidRPr="00000000">
        <w:rPr>
          <w:rFonts w:ascii="Times" w:cs="Times" w:eastAsia="Times" w:hAnsi="Times"/>
          <w:i w:val="1"/>
          <w:color w:val="999999"/>
          <w:highlight w:val="white"/>
          <w:rtl w:val="0"/>
        </w:rPr>
        <w:t xml:space="preserve">Source Sheet by </w:t>
      </w:r>
      <w:hyperlink r:id="rId6">
        <w:r w:rsidDel="00000000" w:rsidR="00000000" w:rsidRPr="00000000">
          <w:rPr>
            <w:rFonts w:ascii="Times" w:cs="Times" w:eastAsia="Times" w:hAnsi="Times"/>
            <w:i w:val="1"/>
            <w:color w:val="333333"/>
            <w:highlight w:val="white"/>
            <w:rtl w:val="0"/>
          </w:rPr>
          <w:t xml:space="preserve">Daria Jacobs-Velde</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imes" w:cs="Times" w:eastAsia="Times" w:hAnsi="Times"/>
          <w:i w:val="1"/>
          <w:color w:val="333333"/>
          <w:sz w:val="18"/>
          <w:szCs w:val="18"/>
          <w:highlight w:val="white"/>
        </w:rPr>
      </w:pPr>
      <w:r w:rsidDel="00000000" w:rsidR="00000000" w:rsidRPr="00000000">
        <w:rPr>
          <w:rFonts w:ascii="Times" w:cs="Times" w:eastAsia="Times" w:hAnsi="Times"/>
          <w:i w:val="1"/>
          <w:color w:val="999999"/>
          <w:sz w:val="18"/>
          <w:szCs w:val="18"/>
          <w:highlight w:val="white"/>
          <w:rtl w:val="0"/>
        </w:rPr>
        <w:t xml:space="preserve">Based on </w:t>
      </w:r>
      <w:hyperlink r:id="rId7">
        <w:r w:rsidDel="00000000" w:rsidR="00000000" w:rsidRPr="00000000">
          <w:rPr>
            <w:rFonts w:ascii="Times" w:cs="Times" w:eastAsia="Times" w:hAnsi="Times"/>
            <w:i w:val="1"/>
            <w:color w:val="333333"/>
            <w:sz w:val="18"/>
            <w:szCs w:val="18"/>
            <w:highlight w:val="white"/>
            <w:rtl w:val="0"/>
          </w:rPr>
          <w:t xml:space="preserve">a sheet</w:t>
        </w:r>
      </w:hyperlink>
      <w:r w:rsidDel="00000000" w:rsidR="00000000" w:rsidRPr="00000000">
        <w:rPr>
          <w:rFonts w:ascii="Times" w:cs="Times" w:eastAsia="Times" w:hAnsi="Times"/>
          <w:i w:val="1"/>
          <w:color w:val="999999"/>
          <w:sz w:val="18"/>
          <w:szCs w:val="18"/>
          <w:highlight w:val="white"/>
          <w:rtl w:val="0"/>
        </w:rPr>
        <w:t xml:space="preserve"> by </w:t>
      </w:r>
      <w:hyperlink r:id="rId8">
        <w:r w:rsidDel="00000000" w:rsidR="00000000" w:rsidRPr="00000000">
          <w:rPr>
            <w:rFonts w:ascii="Times" w:cs="Times" w:eastAsia="Times" w:hAnsi="Times"/>
            <w:i w:val="1"/>
            <w:color w:val="333333"/>
            <w:sz w:val="18"/>
            <w:szCs w:val="18"/>
            <w:highlight w:val="white"/>
            <w:rtl w:val="0"/>
          </w:rPr>
          <w:t xml:space="preserve">Ris Golden-Sieradski</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w:cs="Times" w:eastAsia="Times" w:hAnsi="Times"/>
          <w:i w:val="1"/>
          <w:color w:val="333333"/>
          <w:sz w:val="18"/>
          <w:szCs w:val="18"/>
          <w:highlight w:val="whit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bidi w:val="1"/>
        <w:rPr>
          <w:rFonts w:ascii="Times" w:cs="Times" w:eastAsia="Times" w:hAnsi="Times"/>
          <w:i w:val="1"/>
          <w:color w:val="333333"/>
          <w:sz w:val="18"/>
          <w:szCs w:val="18"/>
          <w:highlight w:val="whit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bidi w:val="1"/>
        <w:spacing w:line="320" w:lineRule="auto"/>
        <w:rPr>
          <w:rFonts w:ascii="Times" w:cs="Times" w:eastAsia="Times" w:hAnsi="Times"/>
          <w:b w:val="1"/>
          <w:color w:val="000000"/>
          <w:sz w:val="36"/>
          <w:szCs w:val="36"/>
          <w:highlight w:val="white"/>
        </w:rPr>
      </w:pPr>
      <w:hyperlink r:id="rId9">
        <w:r w:rsidDel="00000000" w:rsidR="00000000" w:rsidRPr="00000000">
          <w:rPr>
            <w:rFonts w:ascii="Times" w:cs="Times" w:eastAsia="Times" w:hAnsi="Times"/>
            <w:b w:val="1"/>
            <w:color w:val="000000"/>
            <w:sz w:val="36"/>
            <w:szCs w:val="36"/>
            <w:highlight w:val="white"/>
            <w:rtl w:val="1"/>
          </w:rPr>
          <w:t xml:space="preserve">שמות</w:t>
        </w:r>
      </w:hyperlink>
      <w:hyperlink r:id="rId10">
        <w:r w:rsidDel="00000000" w:rsidR="00000000" w:rsidRPr="00000000">
          <w:rPr>
            <w:rFonts w:ascii="Times" w:cs="Times" w:eastAsia="Times" w:hAnsi="Times"/>
            <w:b w:val="1"/>
            <w:color w:val="000000"/>
            <w:sz w:val="36"/>
            <w:szCs w:val="36"/>
            <w:highlight w:val="white"/>
            <w:rtl w:val="1"/>
          </w:rPr>
          <w:t xml:space="preserve"> </w:t>
        </w:r>
      </w:hyperlink>
      <w:hyperlink r:id="rId11">
        <w:r w:rsidDel="00000000" w:rsidR="00000000" w:rsidRPr="00000000">
          <w:rPr>
            <w:rFonts w:ascii="Times" w:cs="Times" w:eastAsia="Times" w:hAnsi="Times"/>
            <w:b w:val="1"/>
            <w:color w:val="000000"/>
            <w:sz w:val="36"/>
            <w:szCs w:val="36"/>
            <w:highlight w:val="white"/>
            <w:rtl w:val="1"/>
          </w:rPr>
          <w:t xml:space="preserve">כ</w:t>
        </w:r>
      </w:hyperlink>
      <w:hyperlink r:id="rId12">
        <w:r w:rsidDel="00000000" w:rsidR="00000000" w:rsidRPr="00000000">
          <w:rPr>
            <w:rFonts w:ascii="Times" w:cs="Times" w:eastAsia="Times" w:hAnsi="Times"/>
            <w:b w:val="1"/>
            <w:color w:val="000000"/>
            <w:sz w:val="36"/>
            <w:szCs w:val="36"/>
            <w:highlight w:val="white"/>
            <w:rtl w:val="1"/>
          </w:rPr>
          <w:t xml:space="preserve">״</w:t>
        </w:r>
      </w:hyperlink>
      <w:hyperlink r:id="rId13">
        <w:r w:rsidDel="00000000" w:rsidR="00000000" w:rsidRPr="00000000">
          <w:rPr>
            <w:rFonts w:ascii="Times" w:cs="Times" w:eastAsia="Times" w:hAnsi="Times"/>
            <w:b w:val="1"/>
            <w:color w:val="000000"/>
            <w:sz w:val="36"/>
            <w:szCs w:val="36"/>
            <w:highlight w:val="white"/>
            <w:rtl w:val="1"/>
          </w:rPr>
          <w:t xml:space="preserve">ג</w:t>
        </w:r>
      </w:hyperlink>
      <w:hyperlink r:id="rId14">
        <w:r w:rsidDel="00000000" w:rsidR="00000000" w:rsidRPr="00000000">
          <w:rPr>
            <w:rFonts w:ascii="Times" w:cs="Times" w:eastAsia="Times" w:hAnsi="Times"/>
            <w:b w:val="1"/>
            <w:color w:val="000000"/>
            <w:sz w:val="36"/>
            <w:szCs w:val="36"/>
            <w:highlight w:val="white"/>
            <w:rtl w:val="1"/>
          </w:rPr>
          <w:t xml:space="preserve">:</w:t>
        </w:r>
      </w:hyperlink>
      <w:hyperlink r:id="rId15">
        <w:r w:rsidDel="00000000" w:rsidR="00000000" w:rsidRPr="00000000">
          <w:rPr>
            <w:rFonts w:ascii="Times" w:cs="Times" w:eastAsia="Times" w:hAnsi="Times"/>
            <w:b w:val="1"/>
            <w:color w:val="000000"/>
            <w:sz w:val="36"/>
            <w:szCs w:val="36"/>
            <w:highlight w:val="white"/>
            <w:rtl w:val="1"/>
          </w:rPr>
          <w:t xml:space="preserve">ט</w:t>
        </w:r>
      </w:hyperlink>
      <w:hyperlink r:id="rId16">
        <w:r w:rsidDel="00000000" w:rsidR="00000000" w:rsidRPr="00000000">
          <w:rPr>
            <w:rFonts w:ascii="Times" w:cs="Times" w:eastAsia="Times" w:hAnsi="Times"/>
            <w:b w:val="1"/>
            <w:color w:val="000000"/>
            <w:sz w:val="36"/>
            <w:szCs w:val="36"/>
            <w:highlight w:val="white"/>
            <w:rtl w:val="1"/>
          </w:rPr>
          <w:t xml:space="preserve">׳-</w:t>
        </w:r>
      </w:hyperlink>
      <w:hyperlink r:id="rId17">
        <w:r w:rsidDel="00000000" w:rsidR="00000000" w:rsidRPr="00000000">
          <w:rPr>
            <w:rFonts w:ascii="Times" w:cs="Times" w:eastAsia="Times" w:hAnsi="Times"/>
            <w:b w:val="1"/>
            <w:color w:val="000000"/>
            <w:sz w:val="36"/>
            <w:szCs w:val="36"/>
            <w:highlight w:val="white"/>
            <w:rtl w:val="1"/>
          </w:rPr>
          <w:t xml:space="preserve">י</w:t>
        </w:r>
      </w:hyperlink>
      <w:hyperlink r:id="rId18">
        <w:r w:rsidDel="00000000" w:rsidR="00000000" w:rsidRPr="00000000">
          <w:rPr>
            <w:rFonts w:ascii="Times" w:cs="Times" w:eastAsia="Times" w:hAnsi="Times"/>
            <w:b w:val="1"/>
            <w:color w:val="000000"/>
            <w:sz w:val="36"/>
            <w:szCs w:val="36"/>
            <w:highlight w:val="white"/>
            <w:rtl w:val="1"/>
          </w:rPr>
          <w:t xml:space="preserve">״</w:t>
        </w:r>
      </w:hyperlink>
      <w:hyperlink r:id="rId19">
        <w:r w:rsidDel="00000000" w:rsidR="00000000" w:rsidRPr="00000000">
          <w:rPr>
            <w:rFonts w:ascii="Times" w:cs="Times" w:eastAsia="Times" w:hAnsi="Times"/>
            <w:b w:val="1"/>
            <w:color w:val="000000"/>
            <w:sz w:val="36"/>
            <w:szCs w:val="36"/>
            <w:highlight w:val="white"/>
            <w:rtl w:val="1"/>
          </w:rPr>
          <w:t xml:space="preserve">א</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bidi w:val="1"/>
        <w:rPr>
          <w:rFonts w:ascii="Times" w:cs="Times" w:eastAsia="Times" w:hAnsi="Times"/>
          <w:sz w:val="36"/>
          <w:szCs w:val="36"/>
          <w:highlight w:val="white"/>
        </w:rPr>
      </w:pPr>
      <w:r w:rsidDel="00000000" w:rsidR="00000000" w:rsidRPr="00000000">
        <w:rPr>
          <w:rtl w:val="0"/>
        </w:rPr>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ט</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ג</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ץ</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פ</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ג</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ג</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ץ</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צ</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ז</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צ</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ס</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פ</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ט</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ט</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ז</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w:cs="Times" w:eastAsia="Times" w:hAnsi="Times"/>
          <w:sz w:val="36"/>
          <w:szCs w:val="36"/>
          <w:highlight w:val="whit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20" w:lineRule="auto"/>
        <w:rPr>
          <w:rFonts w:ascii="Times" w:cs="Times" w:eastAsia="Times" w:hAnsi="Times"/>
          <w:b w:val="1"/>
          <w:color w:val="000000"/>
          <w:sz w:val="26"/>
          <w:szCs w:val="26"/>
          <w:highlight w:val="white"/>
        </w:rPr>
      </w:pPr>
      <w:hyperlink r:id="rId20">
        <w:r w:rsidDel="00000000" w:rsidR="00000000" w:rsidRPr="00000000">
          <w:rPr>
            <w:rFonts w:ascii="Times" w:cs="Times" w:eastAsia="Times" w:hAnsi="Times"/>
            <w:b w:val="1"/>
            <w:color w:val="000000"/>
            <w:sz w:val="26"/>
            <w:szCs w:val="26"/>
            <w:highlight w:val="white"/>
            <w:rtl w:val="0"/>
          </w:rPr>
          <w:t xml:space="preserve">Exodus 23:9-11</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(9) And a stranger shalt thou not oppress; for ye know the heart of a stranger, seeing ye were strangers in the land of Egypt. (10) And six years thou shalt sow thy land, and gather in the increase thereof; (11) but the seventh year thou shalt let it rest and lie fallow, that the poor of thy people may eat; and what they leave the beast of the field shall eat. In like manner thou shalt deal with thy vineyard, and with thy oliveyard.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Fonts w:ascii="Times" w:cs="Times" w:eastAsia="Times" w:hAnsi="Times"/>
          <w:i w:val="1"/>
          <w:sz w:val="30"/>
          <w:szCs w:val="30"/>
          <w:highlight w:val="white"/>
          <w:rtl w:val="0"/>
        </w:rPr>
        <w:t xml:space="preserve">According to this text, what is the main intention and purpose of this time period?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Fonts w:ascii="Times" w:cs="Times" w:eastAsia="Times" w:hAnsi="Times"/>
          <w:i w:val="1"/>
          <w:sz w:val="30"/>
          <w:szCs w:val="30"/>
          <w:highlight w:val="white"/>
          <w:rtl w:val="0"/>
        </w:rPr>
        <w:t xml:space="preserve">Who benefits from Shmita?</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Fonts w:ascii="Times" w:cs="Times" w:eastAsia="Times" w:hAnsi="Times"/>
          <w:i w:val="1"/>
          <w:sz w:val="30"/>
          <w:szCs w:val="30"/>
          <w:highlight w:val="white"/>
          <w:rtl w:val="0"/>
        </w:rPr>
        <w:t xml:space="preserve">What is happening in our fields during this year of Shmita?</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bidi w:val="1"/>
        <w:spacing w:line="320" w:lineRule="auto"/>
        <w:rPr>
          <w:rFonts w:ascii="Times" w:cs="Times" w:eastAsia="Times" w:hAnsi="Times"/>
          <w:b w:val="1"/>
          <w:color w:val="000000"/>
          <w:sz w:val="36"/>
          <w:szCs w:val="36"/>
          <w:highlight w:val="white"/>
        </w:rPr>
      </w:pPr>
      <w:hyperlink r:id="rId21">
        <w:r w:rsidDel="00000000" w:rsidR="00000000" w:rsidRPr="00000000">
          <w:rPr>
            <w:rFonts w:ascii="Times" w:cs="Times" w:eastAsia="Times" w:hAnsi="Times"/>
            <w:b w:val="1"/>
            <w:color w:val="000000"/>
            <w:sz w:val="36"/>
            <w:szCs w:val="36"/>
            <w:highlight w:val="white"/>
            <w:rtl w:val="1"/>
          </w:rPr>
          <w:t xml:space="preserve">ויקרא</w:t>
        </w:r>
      </w:hyperlink>
      <w:hyperlink r:id="rId22">
        <w:r w:rsidDel="00000000" w:rsidR="00000000" w:rsidRPr="00000000">
          <w:rPr>
            <w:rFonts w:ascii="Times" w:cs="Times" w:eastAsia="Times" w:hAnsi="Times"/>
            <w:b w:val="1"/>
            <w:color w:val="000000"/>
            <w:sz w:val="36"/>
            <w:szCs w:val="36"/>
            <w:highlight w:val="white"/>
            <w:rtl w:val="1"/>
          </w:rPr>
          <w:t xml:space="preserve"> </w:t>
        </w:r>
      </w:hyperlink>
      <w:hyperlink r:id="rId23">
        <w:r w:rsidDel="00000000" w:rsidR="00000000" w:rsidRPr="00000000">
          <w:rPr>
            <w:rFonts w:ascii="Times" w:cs="Times" w:eastAsia="Times" w:hAnsi="Times"/>
            <w:b w:val="1"/>
            <w:color w:val="000000"/>
            <w:sz w:val="36"/>
            <w:szCs w:val="36"/>
            <w:highlight w:val="white"/>
            <w:rtl w:val="1"/>
          </w:rPr>
          <w:t xml:space="preserve">כ</w:t>
        </w:r>
      </w:hyperlink>
      <w:hyperlink r:id="rId24">
        <w:r w:rsidDel="00000000" w:rsidR="00000000" w:rsidRPr="00000000">
          <w:rPr>
            <w:rFonts w:ascii="Times" w:cs="Times" w:eastAsia="Times" w:hAnsi="Times"/>
            <w:b w:val="1"/>
            <w:color w:val="000000"/>
            <w:sz w:val="36"/>
            <w:szCs w:val="36"/>
            <w:highlight w:val="white"/>
            <w:rtl w:val="1"/>
          </w:rPr>
          <w:t xml:space="preserve">״</w:t>
        </w:r>
      </w:hyperlink>
      <w:hyperlink r:id="rId25">
        <w:r w:rsidDel="00000000" w:rsidR="00000000" w:rsidRPr="00000000">
          <w:rPr>
            <w:rFonts w:ascii="Times" w:cs="Times" w:eastAsia="Times" w:hAnsi="Times"/>
            <w:b w:val="1"/>
            <w:color w:val="000000"/>
            <w:sz w:val="36"/>
            <w:szCs w:val="36"/>
            <w:highlight w:val="white"/>
            <w:rtl w:val="1"/>
          </w:rPr>
          <w:t xml:space="preserve">ה</w:t>
        </w:r>
      </w:hyperlink>
      <w:hyperlink r:id="rId26">
        <w:r w:rsidDel="00000000" w:rsidR="00000000" w:rsidRPr="00000000">
          <w:rPr>
            <w:rFonts w:ascii="Times" w:cs="Times" w:eastAsia="Times" w:hAnsi="Times"/>
            <w:b w:val="1"/>
            <w:color w:val="000000"/>
            <w:sz w:val="36"/>
            <w:szCs w:val="36"/>
            <w:highlight w:val="white"/>
            <w:rtl w:val="1"/>
          </w:rPr>
          <w:t xml:space="preserve">:</w:t>
        </w:r>
      </w:hyperlink>
      <w:hyperlink r:id="rId27">
        <w:r w:rsidDel="00000000" w:rsidR="00000000" w:rsidRPr="00000000">
          <w:rPr>
            <w:rFonts w:ascii="Times" w:cs="Times" w:eastAsia="Times" w:hAnsi="Times"/>
            <w:b w:val="1"/>
            <w:color w:val="000000"/>
            <w:sz w:val="36"/>
            <w:szCs w:val="36"/>
            <w:highlight w:val="white"/>
            <w:rtl w:val="1"/>
          </w:rPr>
          <w:t xml:space="preserve">א</w:t>
        </w:r>
      </w:hyperlink>
      <w:hyperlink r:id="rId28">
        <w:r w:rsidDel="00000000" w:rsidR="00000000" w:rsidRPr="00000000">
          <w:rPr>
            <w:rFonts w:ascii="Times" w:cs="Times" w:eastAsia="Times" w:hAnsi="Times"/>
            <w:b w:val="1"/>
            <w:color w:val="000000"/>
            <w:sz w:val="36"/>
            <w:szCs w:val="36"/>
            <w:highlight w:val="white"/>
            <w:rtl w:val="1"/>
          </w:rPr>
          <w:t xml:space="preserve">׳-</w:t>
        </w:r>
      </w:hyperlink>
      <w:hyperlink r:id="rId29">
        <w:r w:rsidDel="00000000" w:rsidR="00000000" w:rsidRPr="00000000">
          <w:rPr>
            <w:rFonts w:ascii="Times" w:cs="Times" w:eastAsia="Times" w:hAnsi="Times"/>
            <w:b w:val="1"/>
            <w:color w:val="000000"/>
            <w:sz w:val="36"/>
            <w:szCs w:val="36"/>
            <w:highlight w:val="white"/>
            <w:rtl w:val="1"/>
          </w:rPr>
          <w:t xml:space="preserve">ז</w:t>
        </w:r>
      </w:hyperlink>
      <w:hyperlink r:id="rId30">
        <w:r w:rsidDel="00000000" w:rsidR="00000000" w:rsidRPr="00000000">
          <w:rPr>
            <w:rFonts w:ascii="Times" w:cs="Times" w:eastAsia="Times" w:hAnsi="Times"/>
            <w:b w:val="1"/>
            <w:color w:val="000000"/>
            <w:sz w:val="36"/>
            <w:szCs w:val="36"/>
            <w:highlight w:val="white"/>
            <w:rtl w:val="1"/>
          </w:rPr>
          <w:t xml:space="preserve">׳</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bidi w:val="1"/>
        <w:rPr>
          <w:rFonts w:ascii="Times" w:cs="Times" w:eastAsia="Times" w:hAnsi="Times"/>
          <w:sz w:val="36"/>
          <w:szCs w:val="36"/>
          <w:highlight w:val="white"/>
        </w:rPr>
      </w:pPr>
      <w:r w:rsidDel="00000000" w:rsidR="00000000" w:rsidRPr="00000000">
        <w:rPr>
          <w:rtl w:val="0"/>
        </w:rPr>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יקוק</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ס</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ץ</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ץ</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יקוק</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ג</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ז</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ז</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ס</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פ</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ץ</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יקוק</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ז</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ז</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ס</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פ</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יח</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צ</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צו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ז</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צ</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ץ</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ץ</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ג</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ז</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צ</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w:cs="Times" w:eastAsia="Times" w:hAnsi="Times"/>
          <w:sz w:val="36"/>
          <w:szCs w:val="36"/>
          <w:highlight w:val="whit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20" w:lineRule="auto"/>
        <w:rPr>
          <w:rFonts w:ascii="Times" w:cs="Times" w:eastAsia="Times" w:hAnsi="Times"/>
          <w:b w:val="1"/>
          <w:color w:val="000000"/>
          <w:sz w:val="26"/>
          <w:szCs w:val="26"/>
          <w:highlight w:val="white"/>
        </w:rPr>
      </w:pPr>
      <w:hyperlink r:id="rId31">
        <w:r w:rsidDel="00000000" w:rsidR="00000000" w:rsidRPr="00000000">
          <w:rPr>
            <w:rFonts w:ascii="Times" w:cs="Times" w:eastAsia="Times" w:hAnsi="Times"/>
            <w:b w:val="1"/>
            <w:color w:val="000000"/>
            <w:sz w:val="26"/>
            <w:szCs w:val="26"/>
            <w:highlight w:val="white"/>
            <w:rtl w:val="0"/>
          </w:rPr>
          <w:t xml:space="preserve">Leviticus 25:1-7</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(1) And the LORD spoke unto Moses in mount Sinai, saying: (2) Speak unto the children of Israel, and say unto them: When ye come into the land which I give you, then shall the land keep a sabbath unto the LORD. (3) Six years thou shalt sow thy field, and six years thou shalt prune thy vineyard, and gather in the produce thereof. (4) But in the seventh year shall be a sabbath of solemn rest for the land, a sabbath unto the LORD; thou shalt neither sow thy field, nor prune thy vineyard. (5) That which groweth of itself of thy harvest thou shalt not reap, and the grapes of thy undressed vine thou shalt not gather; it shall be a year of solemn rest for the land. (6) And the sabbath-produce of the land shall be for food for you: for thee, and for thy servant and for thy maid, and for thy hired servant and for the settler by thy side that sojourn with thee; (7) and for thy cattle, and for the beasts that are in thy land, shall all the increase thereof be for food.</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Fonts w:ascii="Times" w:cs="Times" w:eastAsia="Times" w:hAnsi="Times"/>
          <w:i w:val="1"/>
          <w:sz w:val="30"/>
          <w:szCs w:val="30"/>
          <w:highlight w:val="white"/>
          <w:rtl w:val="0"/>
        </w:rPr>
        <w:t xml:space="preserve">How does this text add to our understanding of Shmita from the previous source?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Fonts w:ascii="Times" w:cs="Times" w:eastAsia="Times" w:hAnsi="Times"/>
          <w:i w:val="1"/>
          <w:sz w:val="30"/>
          <w:szCs w:val="30"/>
          <w:highlight w:val="white"/>
          <w:rtl w:val="0"/>
        </w:rPr>
        <w:t xml:space="preserve">What are the agricultural activities that are not practiced in the seventh year?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Fonts w:ascii="Times" w:cs="Times" w:eastAsia="Times" w:hAnsi="Times"/>
          <w:i w:val="1"/>
          <w:sz w:val="30"/>
          <w:szCs w:val="30"/>
          <w:highlight w:val="white"/>
          <w:rtl w:val="0"/>
        </w:rPr>
        <w:t xml:space="preserve">Does there seem to be something potentially conflicting about the instructions given in this text?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bidi w:val="1"/>
        <w:rPr>
          <w:rFonts w:ascii="Times" w:cs="Times" w:eastAsia="Times" w:hAnsi="Times"/>
          <w:i w:val="1"/>
          <w:sz w:val="30"/>
          <w:szCs w:val="30"/>
          <w:highlight w:val="whit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bidi w:val="1"/>
        <w:spacing w:line="320" w:lineRule="auto"/>
        <w:rPr>
          <w:rFonts w:ascii="Times" w:cs="Times" w:eastAsia="Times" w:hAnsi="Times"/>
          <w:b w:val="1"/>
          <w:color w:val="000000"/>
          <w:sz w:val="36"/>
          <w:szCs w:val="36"/>
          <w:highlight w:val="white"/>
        </w:rPr>
      </w:pPr>
      <w:hyperlink r:id="rId32">
        <w:r w:rsidDel="00000000" w:rsidR="00000000" w:rsidRPr="00000000">
          <w:rPr>
            <w:rFonts w:ascii="Times" w:cs="Times" w:eastAsia="Times" w:hAnsi="Times"/>
            <w:b w:val="1"/>
            <w:color w:val="000000"/>
            <w:sz w:val="36"/>
            <w:szCs w:val="36"/>
            <w:highlight w:val="white"/>
            <w:rtl w:val="1"/>
          </w:rPr>
          <w:t xml:space="preserve">דברים</w:t>
        </w:r>
      </w:hyperlink>
      <w:hyperlink r:id="rId33">
        <w:r w:rsidDel="00000000" w:rsidR="00000000" w:rsidRPr="00000000">
          <w:rPr>
            <w:rFonts w:ascii="Times" w:cs="Times" w:eastAsia="Times" w:hAnsi="Times"/>
            <w:b w:val="1"/>
            <w:color w:val="000000"/>
            <w:sz w:val="36"/>
            <w:szCs w:val="36"/>
            <w:highlight w:val="white"/>
            <w:rtl w:val="1"/>
          </w:rPr>
          <w:t xml:space="preserve"> </w:t>
        </w:r>
      </w:hyperlink>
      <w:hyperlink r:id="rId34">
        <w:r w:rsidDel="00000000" w:rsidR="00000000" w:rsidRPr="00000000">
          <w:rPr>
            <w:rFonts w:ascii="Times" w:cs="Times" w:eastAsia="Times" w:hAnsi="Times"/>
            <w:b w:val="1"/>
            <w:color w:val="000000"/>
            <w:sz w:val="36"/>
            <w:szCs w:val="36"/>
            <w:highlight w:val="white"/>
            <w:rtl w:val="1"/>
          </w:rPr>
          <w:t xml:space="preserve">ט</w:t>
        </w:r>
      </w:hyperlink>
      <w:hyperlink r:id="rId35">
        <w:r w:rsidDel="00000000" w:rsidR="00000000" w:rsidRPr="00000000">
          <w:rPr>
            <w:rFonts w:ascii="Times" w:cs="Times" w:eastAsia="Times" w:hAnsi="Times"/>
            <w:b w:val="1"/>
            <w:color w:val="000000"/>
            <w:sz w:val="36"/>
            <w:szCs w:val="36"/>
            <w:highlight w:val="white"/>
            <w:rtl w:val="1"/>
          </w:rPr>
          <w:t xml:space="preserve">״</w:t>
        </w:r>
      </w:hyperlink>
      <w:hyperlink r:id="rId36">
        <w:r w:rsidDel="00000000" w:rsidR="00000000" w:rsidRPr="00000000">
          <w:rPr>
            <w:rFonts w:ascii="Times" w:cs="Times" w:eastAsia="Times" w:hAnsi="Times"/>
            <w:b w:val="1"/>
            <w:color w:val="000000"/>
            <w:sz w:val="36"/>
            <w:szCs w:val="36"/>
            <w:highlight w:val="white"/>
            <w:rtl w:val="1"/>
          </w:rPr>
          <w:t xml:space="preserve">ו</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bidi w:val="1"/>
        <w:rPr>
          <w:rFonts w:ascii="Times" w:cs="Times" w:eastAsia="Times" w:hAnsi="Times"/>
          <w:sz w:val="36"/>
          <w:szCs w:val="36"/>
          <w:highlight w:val="white"/>
        </w:rPr>
      </w:pPr>
      <w:r w:rsidDel="00000000" w:rsidR="00000000" w:rsidRPr="00000000">
        <w:rPr>
          <w:rFonts w:ascii="Times" w:cs="Times" w:eastAsia="Times" w:hAnsi="Times"/>
          <w:sz w:val="36"/>
          <w:szCs w:val="36"/>
          <w:highlight w:val="white"/>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bidi w:val="1"/>
        <w:rPr>
          <w:rFonts w:ascii="Times" w:cs="Times" w:eastAsia="Times" w:hAnsi="Times"/>
          <w:sz w:val="36"/>
          <w:szCs w:val="36"/>
          <w:highlight w:val="white"/>
        </w:rPr>
      </w:pPr>
      <w:r w:rsidDel="00000000" w:rsidR="00000000" w:rsidRPr="00000000">
        <w:rPr>
          <w:rtl w:val="0"/>
        </w:rPr>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ץ</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ט</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ז</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ט</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ט</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ג</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ט</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יקוק</w:t>
      </w:r>
      <w:r w:rsidDel="00000000" w:rsidR="00000000" w:rsidRPr="00000000">
        <w:rPr>
          <w:rFonts w:ascii="Times" w:cs="Times" w:eastAsia="Times" w:hAnsi="Times"/>
          <w:sz w:val="36"/>
          <w:szCs w:val="36"/>
          <w:highlight w:val="white"/>
          <w:rtl w:val="1"/>
        </w:rPr>
        <w:t xml:space="preserve">׃ ... (</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פ</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ס</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יקוק</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ץ</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יקוק</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ם</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יקוק</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צ</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ז</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צ</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ס</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ז</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צ</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יקוק</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ץ</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פ</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ץ</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פ</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פ</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ט</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יט</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ס</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ס</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ט</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פ</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ם</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ט</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יקוק</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ט</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ג</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 ׀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ז</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יקוק</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ץ</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צ</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פ</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פ</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צ</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ס</w:t>
      </w:r>
      <w:r w:rsidDel="00000000" w:rsidR="00000000" w:rsidRPr="00000000">
        <w:rPr>
          <w:rFonts w:ascii="Times" w:cs="Times" w:eastAsia="Times" w:hAnsi="Times"/>
          <w:sz w:val="36"/>
          <w:szCs w:val="36"/>
          <w:highlight w:val="white"/>
          <w:rtl w:val="1"/>
        </w:rPr>
        <w:t xml:space="preserv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bidi w:val="1"/>
        <w:rPr>
          <w:rFonts w:ascii="Times" w:cs="Times" w:eastAsia="Times" w:hAnsi="Times"/>
          <w:sz w:val="36"/>
          <w:szCs w:val="36"/>
          <w:highlight w:val="white"/>
        </w:rPr>
      </w:pPr>
      <w:r w:rsidDel="00000000" w:rsidR="00000000" w:rsidRPr="00000000">
        <w:rPr>
          <w:rtl w:val="0"/>
        </w:rPr>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יב</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פ</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יג</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פ</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יד</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יק</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יק</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צ</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ג</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יקוק</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טו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ז</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ץ</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צ</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פ</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יקוק</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צ</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ז</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ם</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יח</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פ</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יקוק</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יך</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פ</w:t>
      </w:r>
      <w:r w:rsidDel="00000000" w:rsidR="00000000" w:rsidRPr="00000000">
        <w:rPr>
          <w:rFonts w:ascii="Times" w:cs="Times" w:eastAsia="Times" w:hAnsi="Times"/>
          <w:sz w:val="36"/>
          <w:szCs w:val="36"/>
          <w:highlight w:val="white"/>
          <w:rtl w:val="1"/>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w:cs="Times" w:eastAsia="Times" w:hAnsi="Times"/>
          <w:sz w:val="36"/>
          <w:szCs w:val="36"/>
          <w:highlight w:val="whit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20" w:lineRule="auto"/>
        <w:rPr>
          <w:rFonts w:ascii="Times" w:cs="Times" w:eastAsia="Times" w:hAnsi="Times"/>
          <w:b w:val="1"/>
          <w:color w:val="000000"/>
          <w:sz w:val="26"/>
          <w:szCs w:val="26"/>
          <w:highlight w:val="white"/>
        </w:rPr>
      </w:pPr>
      <w:hyperlink r:id="rId37">
        <w:r w:rsidDel="00000000" w:rsidR="00000000" w:rsidRPr="00000000">
          <w:rPr>
            <w:rFonts w:ascii="Times" w:cs="Times" w:eastAsia="Times" w:hAnsi="Times"/>
            <w:b w:val="1"/>
            <w:color w:val="000000"/>
            <w:sz w:val="26"/>
            <w:szCs w:val="26"/>
            <w:highlight w:val="white"/>
            <w:rtl w:val="0"/>
          </w:rPr>
          <w:t xml:space="preserve">Deuteronomy 15</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(1) (At the end of) [e]very seventh year you shall practice </w:t>
      </w:r>
      <w:r w:rsidDel="00000000" w:rsidR="00000000" w:rsidRPr="00000000">
        <w:rPr>
          <w:rFonts w:ascii="Times" w:cs="Times" w:eastAsia="Times" w:hAnsi="Times"/>
          <w:i w:val="1"/>
          <w:sz w:val="30"/>
          <w:szCs w:val="30"/>
          <w:highlight w:val="white"/>
          <w:rtl w:val="0"/>
        </w:rPr>
        <w:t xml:space="preserve">shmitah/ </w:t>
      </w:r>
      <w:r w:rsidDel="00000000" w:rsidR="00000000" w:rsidRPr="00000000">
        <w:rPr>
          <w:rFonts w:ascii="Times" w:cs="Times" w:eastAsia="Times" w:hAnsi="Times"/>
          <w:sz w:val="30"/>
          <w:szCs w:val="30"/>
          <w:highlight w:val="white"/>
          <w:rtl w:val="0"/>
        </w:rPr>
        <w:t xml:space="preserve">remission of debts.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(2) This shall be the nature of the remission: every creditor shall remit the due that he claims from his fellow; he shall not dun his fellow or kinsman, for the remission proclaimed is of the LORD.</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(4) There shall be no needy among you—since the LORD your God will bless you in the land that the LORD your God is giving you as a hereditary portion— (5) if only you heed the LORD your God and take care to keep all this Instruction that I enjoin upon you this day.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(7) If, however, there is a needy person among you, one of your kinsmen in any of your settlements in the land that the LORD your God is giving you, do not harden your heart and shut your hand against your needy kinsman. (8) Rather, you must open your hand and lend him sufficient for whatever he needs. (9) Beware lest you harbor the base thought, “The seventh year, the year of remission, is approaching,” so that you are mean to your needy kinsman and give him nothing. He will cry out to the LORD against you, and you will incur guilt. (10) Give to him readily and have no regrets when you do so, for in return the LORD your God will bless you in all your efforts and in all your undertakings. (11) For there will never cease to be needy ones in your land, which is why I command you: open your hand to the poor and needy kinsman in your land.</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(12) If a fellow Hebrew, man or woman, is sold to you, he shall serve you six years, and in the seventh year you shall set him free. (13) When you set him free, do not let him go empty-handed: (14) Furnish him out of the flock, threshing floor, and vat, with which the LORD your God has blessed you. (15) Bear in mind that you were slaves in the land of Egypt and the LORD your God redeemed you; therefore I enjoin this commandment upon you today...(18) When you do set him free, do not feel aggrieved; for in the six years he has given you double the service of a hired man. Moreover, the LORD your God will bless you in all you do.</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Fonts w:ascii="Times" w:cs="Times" w:eastAsia="Times" w:hAnsi="Times"/>
          <w:i w:val="1"/>
          <w:sz w:val="30"/>
          <w:szCs w:val="30"/>
          <w:highlight w:val="white"/>
          <w:rtl w:val="0"/>
        </w:rPr>
        <w:t xml:space="preserve">What does the text from Deut. add to our understanding of Shmitah?</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Fonts w:ascii="Times" w:cs="Times" w:eastAsia="Times" w:hAnsi="Times"/>
          <w:i w:val="1"/>
          <w:sz w:val="30"/>
          <w:szCs w:val="30"/>
          <w:highlight w:val="white"/>
          <w:rtl w:val="0"/>
        </w:rPr>
        <w:t xml:space="preserve">What is challenging about Shmitah?What is inspiring about Shmitah?</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It is a commandment to divest one’s self from everything that the land produces in the seventh year, as Exodus 23.11 states: “In the seventh year, you shall leave it untended and unharvested.” Anyone who locks his vineyard or fences off his agricultural field in the Sabbatical year has nullified a positive commandment. This also holds true if he gathered all of his produce into his home. Instead, he should leave everything ownerless [</w:t>
      </w:r>
      <w:r w:rsidDel="00000000" w:rsidR="00000000" w:rsidRPr="00000000">
        <w:rPr>
          <w:rFonts w:ascii="Times" w:cs="Times" w:eastAsia="Times" w:hAnsi="Times"/>
          <w:i w:val="1"/>
          <w:sz w:val="30"/>
          <w:szCs w:val="30"/>
          <w:highlight w:val="white"/>
          <w:rtl w:val="0"/>
        </w:rPr>
        <w:t xml:space="preserve">hefker</w:t>
      </w:r>
      <w:r w:rsidDel="00000000" w:rsidR="00000000" w:rsidRPr="00000000">
        <w:rPr>
          <w:rFonts w:ascii="Times" w:cs="Times" w:eastAsia="Times" w:hAnsi="Times"/>
          <w:sz w:val="30"/>
          <w:szCs w:val="30"/>
          <w:highlight w:val="white"/>
          <w:rtl w:val="0"/>
        </w:rPr>
        <w:t xml:space="preserve">]. Thus everyone, [rich and poor], have equal rights in every place, as Exodus 23.11 states: “And the poor of your people shall partake of it.” One may only bring a small amount of produce into one’s home, just as one brings from ownerless property.</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Fonts w:ascii="Times" w:cs="Times" w:eastAsia="Times" w:hAnsi="Times"/>
          <w:i w:val="1"/>
          <w:sz w:val="30"/>
          <w:szCs w:val="30"/>
          <w:highlight w:val="white"/>
          <w:rtl w:val="0"/>
        </w:rPr>
        <w:t xml:space="preserve">– Rambam, Mishne Torah, Hilchot Shmita v’Yovel, 4.24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Fonts w:ascii="Times" w:cs="Times" w:eastAsia="Times" w:hAnsi="Times"/>
          <w:i w:val="1"/>
          <w:sz w:val="30"/>
          <w:szCs w:val="30"/>
          <w:highlight w:val="white"/>
          <w:rtl w:val="0"/>
        </w:rPr>
        <w:t xml:space="preserve">According to the Rambam, what is the landowner allowed to do and not allowed to do with his/her produce during the Shmittah year?</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Fonts w:ascii="Times" w:cs="Times" w:eastAsia="Times" w:hAnsi="Times"/>
          <w:i w:val="1"/>
          <w:sz w:val="30"/>
          <w:szCs w:val="30"/>
          <w:highlight w:val="white"/>
          <w:rtl w:val="0"/>
        </w:rPr>
        <w:t xml:space="preserve">How does the concept of "hefker" (ownerless) add to our understanding of the land and its bounty during the Shmittah year?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Fonts w:ascii="Times" w:cs="Times" w:eastAsia="Times" w:hAnsi="Times"/>
          <w:i w:val="1"/>
          <w:sz w:val="30"/>
          <w:szCs w:val="30"/>
          <w:highlight w:val="white"/>
          <w:rtl w:val="0"/>
        </w:rPr>
        <w:t xml:space="preserve">Who benefits from Shmittah? What questions are you left with?</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bidi w:val="1"/>
        <w:rPr>
          <w:rFonts w:ascii="Times" w:cs="Times" w:eastAsia="Times" w:hAnsi="Times"/>
          <w:i w:val="1"/>
          <w:sz w:val="30"/>
          <w:szCs w:val="30"/>
          <w:highlight w:val="whit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bidi w:val="1"/>
        <w:spacing w:line="320" w:lineRule="auto"/>
        <w:rPr>
          <w:rFonts w:ascii="Times" w:cs="Times" w:eastAsia="Times" w:hAnsi="Times"/>
          <w:b w:val="1"/>
          <w:sz w:val="36"/>
          <w:szCs w:val="36"/>
          <w:highlight w:val="white"/>
        </w:rPr>
      </w:pPr>
      <w:r w:rsidDel="00000000" w:rsidR="00000000" w:rsidRPr="00000000">
        <w:rPr>
          <w:rFonts w:ascii="Times" w:cs="Times" w:eastAsia="Times" w:hAnsi="Times"/>
          <w:b w:val="1"/>
          <w:sz w:val="36"/>
          <w:szCs w:val="36"/>
          <w:highlight w:val="white"/>
          <w:rtl w:val="1"/>
        </w:rPr>
        <w:t xml:space="preserve">שבת</w:t>
      </w:r>
      <w:r w:rsidDel="00000000" w:rsidR="00000000" w:rsidRPr="00000000">
        <w:rPr>
          <w:rFonts w:ascii="Times" w:cs="Times" w:eastAsia="Times" w:hAnsi="Times"/>
          <w:b w:val="1"/>
          <w:sz w:val="36"/>
          <w:szCs w:val="36"/>
          <w:highlight w:val="white"/>
          <w:rtl w:val="1"/>
        </w:rPr>
        <w:t xml:space="preserve"> </w:t>
      </w:r>
      <w:r w:rsidDel="00000000" w:rsidR="00000000" w:rsidRPr="00000000">
        <w:rPr>
          <w:rFonts w:ascii="Times" w:cs="Times" w:eastAsia="Times" w:hAnsi="Times"/>
          <w:b w:val="1"/>
          <w:sz w:val="36"/>
          <w:szCs w:val="36"/>
          <w:highlight w:val="white"/>
          <w:rtl w:val="1"/>
        </w:rPr>
        <w:t xml:space="preserve">ל</w:t>
      </w:r>
      <w:r w:rsidDel="00000000" w:rsidR="00000000" w:rsidRPr="00000000">
        <w:rPr>
          <w:rFonts w:ascii="Times" w:cs="Times" w:eastAsia="Times" w:hAnsi="Times"/>
          <w:b w:val="1"/>
          <w:sz w:val="36"/>
          <w:szCs w:val="36"/>
          <w:highlight w:val="white"/>
          <w:rtl w:val="1"/>
        </w:rPr>
        <w:t xml:space="preserve">״</w:t>
      </w:r>
      <w:r w:rsidDel="00000000" w:rsidR="00000000" w:rsidRPr="00000000">
        <w:rPr>
          <w:rFonts w:ascii="Times" w:cs="Times" w:eastAsia="Times" w:hAnsi="Times"/>
          <w:b w:val="1"/>
          <w:sz w:val="36"/>
          <w:szCs w:val="36"/>
          <w:highlight w:val="white"/>
          <w:rtl w:val="1"/>
        </w:rPr>
        <w:t xml:space="preserve">ג</w:t>
      </w:r>
      <w:r w:rsidDel="00000000" w:rsidR="00000000" w:rsidRPr="00000000">
        <w:rPr>
          <w:rFonts w:ascii="Times" w:cs="Times" w:eastAsia="Times" w:hAnsi="Times"/>
          <w:b w:val="1"/>
          <w:sz w:val="36"/>
          <w:szCs w:val="36"/>
          <w:highlight w:val="white"/>
          <w:rtl w:val="1"/>
        </w:rPr>
        <w:t xml:space="preserve"> </w:t>
      </w:r>
      <w:r w:rsidDel="00000000" w:rsidR="00000000" w:rsidRPr="00000000">
        <w:rPr>
          <w:rFonts w:ascii="Times" w:cs="Times" w:eastAsia="Times" w:hAnsi="Times"/>
          <w:b w:val="1"/>
          <w:sz w:val="36"/>
          <w:szCs w:val="36"/>
          <w:highlight w:val="white"/>
          <w:rtl w:val="1"/>
        </w:rPr>
        <w:t xml:space="preserve">א</w:t>
      </w:r>
      <w:r w:rsidDel="00000000" w:rsidR="00000000" w:rsidRPr="00000000">
        <w:rPr>
          <w:rFonts w:ascii="Times" w:cs="Times" w:eastAsia="Times" w:hAnsi="Times"/>
          <w:b w:val="1"/>
          <w:sz w:val="36"/>
          <w:szCs w:val="36"/>
          <w:highlight w:val="white"/>
          <w:rtl w:val="1"/>
        </w:rPr>
        <w:t xml:space="preserve">:</w:t>
      </w:r>
      <w:r w:rsidDel="00000000" w:rsidR="00000000" w:rsidRPr="00000000">
        <w:rPr>
          <w:rFonts w:ascii="Times" w:cs="Times" w:eastAsia="Times" w:hAnsi="Times"/>
          <w:b w:val="1"/>
          <w:sz w:val="36"/>
          <w:szCs w:val="36"/>
          <w:highlight w:val="white"/>
          <w:rtl w:val="1"/>
        </w:rPr>
        <w:t xml:space="preserve">ה</w:t>
      </w:r>
      <w:r w:rsidDel="00000000" w:rsidR="00000000" w:rsidRPr="00000000">
        <w:rPr>
          <w:rFonts w:ascii="Times" w:cs="Times" w:eastAsia="Times" w:hAnsi="Times"/>
          <w:b w:val="1"/>
          <w:sz w:val="36"/>
          <w:szCs w:val="36"/>
          <w:highlight w:val="white"/>
          <w:rtl w:val="1"/>
        </w:rPr>
        <w:t xml:space="preserv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bidi w:val="1"/>
        <w:rPr>
          <w:rFonts w:ascii="Times" w:cs="Times" w:eastAsia="Times" w:hAnsi="Times"/>
          <w:sz w:val="36"/>
          <w:szCs w:val="36"/>
          <w:highlight w:val="white"/>
        </w:rPr>
      </w:pP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ג</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ז</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ט</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יט</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 </w:t>
      </w:r>
      <w:r w:rsidDel="00000000" w:rsidR="00000000" w:rsidRPr="00000000">
        <w:rPr>
          <w:rFonts w:ascii="Times" w:cs="Times" w:eastAsia="Times" w:hAnsi="Times"/>
          <w:sz w:val="36"/>
          <w:szCs w:val="36"/>
          <w:highlight w:val="white"/>
          <w:rtl w:val="1"/>
        </w:rPr>
        <w:t xml:space="preserve">ג</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ג</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ח</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ן</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בו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ש</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ץ</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גו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יב</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ט</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ץ</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פ</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ד</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נ</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ע</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יה</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גו</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יב</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ל</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ק</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יא</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ר</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ץ</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ב</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ט</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מ</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א</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כ</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ם</w:t>
      </w:r>
      <w:r w:rsidDel="00000000" w:rsidR="00000000" w:rsidRPr="00000000">
        <w:rPr>
          <w:rFonts w:ascii="Times" w:cs="Times" w:eastAsia="Times" w:hAnsi="Times"/>
          <w:sz w:val="36"/>
          <w:szCs w:val="36"/>
          <w:highlight w:val="white"/>
          <w:rtl w:val="1"/>
        </w:rPr>
        <w:t xml:space="preserve"> </w:t>
      </w:r>
      <w:r w:rsidDel="00000000" w:rsidR="00000000" w:rsidRPr="00000000">
        <w:rPr>
          <w:rFonts w:ascii="Times" w:cs="Times" w:eastAsia="Times" w:hAnsi="Times"/>
          <w:sz w:val="36"/>
          <w:szCs w:val="36"/>
          <w:highlight w:val="white"/>
          <w:rtl w:val="1"/>
        </w:rPr>
        <w:t xml:space="preserve">או</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ת</w:t>
      </w:r>
      <w:r w:rsidDel="00000000" w:rsidR="00000000" w:rsidRPr="00000000">
        <w:rPr>
          <w:rFonts w:ascii="Times" w:cs="Times" w:eastAsia="Times" w:hAnsi="Times"/>
          <w:sz w:val="36"/>
          <w:szCs w:val="36"/>
          <w:highlight w:val="white"/>
          <w:rtl w:val="1"/>
        </w:rPr>
        <w:t xml:space="preserve">ָ</w:t>
      </w:r>
      <w:r w:rsidDel="00000000" w:rsidR="00000000" w:rsidRPr="00000000">
        <w:rPr>
          <w:rFonts w:ascii="Times" w:cs="Times" w:eastAsia="Times" w:hAnsi="Times"/>
          <w:sz w:val="36"/>
          <w:szCs w:val="36"/>
          <w:highlight w:val="white"/>
          <w:rtl w:val="1"/>
        </w:rPr>
        <w:t xml:space="preserve">ה</w:t>
      </w:r>
      <w:r w:rsidDel="00000000" w:rsidR="00000000" w:rsidRPr="00000000">
        <w:rPr>
          <w:rFonts w:ascii="Times" w:cs="Times" w:eastAsia="Times" w:hAnsi="Times"/>
          <w:sz w:val="36"/>
          <w:szCs w:val="36"/>
          <w:highlight w:val="white"/>
          <w:rtl w:val="1"/>
        </w:rPr>
        <w:t xml:space="preserv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w:cs="Times" w:eastAsia="Times" w:hAnsi="Times"/>
          <w:sz w:val="36"/>
          <w:szCs w:val="36"/>
          <w:highlight w:val="whit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20" w:lineRule="auto"/>
        <w:rPr>
          <w:rFonts w:ascii="Times" w:cs="Times" w:eastAsia="Times" w:hAnsi="Times"/>
          <w:b w:val="1"/>
          <w:color w:val="000000"/>
          <w:sz w:val="26"/>
          <w:szCs w:val="26"/>
          <w:highlight w:val="white"/>
        </w:rPr>
      </w:pPr>
      <w:hyperlink r:id="rId38">
        <w:r w:rsidDel="00000000" w:rsidR="00000000" w:rsidRPr="00000000">
          <w:rPr>
            <w:rFonts w:ascii="Times" w:cs="Times" w:eastAsia="Times" w:hAnsi="Times"/>
            <w:b w:val="1"/>
            <w:color w:val="000000"/>
            <w:sz w:val="26"/>
            <w:szCs w:val="26"/>
            <w:highlight w:val="white"/>
            <w:rtl w:val="0"/>
          </w:rPr>
          <w:t xml:space="preserve">Shabbat 33a:5</w:t>
        </w:r>
      </w:hyperlink>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b w:val="1"/>
          <w:sz w:val="30"/>
          <w:szCs w:val="30"/>
          <w:highlight w:val="white"/>
          <w:rtl w:val="0"/>
        </w:rPr>
        <w:t xml:space="preserve">Sue to the sin of prohibited sexual relations, and idol worship, and</w:t>
      </w:r>
      <w:r w:rsidDel="00000000" w:rsidR="00000000" w:rsidRPr="00000000">
        <w:rPr>
          <w:rFonts w:ascii="Times" w:cs="Times" w:eastAsia="Times" w:hAnsi="Times"/>
          <w:sz w:val="30"/>
          <w:szCs w:val="30"/>
          <w:highlight w:val="white"/>
          <w:rtl w:val="0"/>
        </w:rPr>
        <w:t xml:space="preserve"> failure to let the land </w:t>
      </w:r>
      <w:r w:rsidDel="00000000" w:rsidR="00000000" w:rsidRPr="00000000">
        <w:rPr>
          <w:rFonts w:ascii="Times" w:cs="Times" w:eastAsia="Times" w:hAnsi="Times"/>
          <w:b w:val="1"/>
          <w:sz w:val="30"/>
          <w:szCs w:val="30"/>
          <w:highlight w:val="white"/>
          <w:rtl w:val="0"/>
        </w:rPr>
        <w:t xml:space="preserve">lie fallow</w:t>
      </w:r>
      <w:r w:rsidDel="00000000" w:rsidR="00000000" w:rsidRPr="00000000">
        <w:rPr>
          <w:rFonts w:ascii="Times" w:cs="Times" w:eastAsia="Times" w:hAnsi="Times"/>
          <w:sz w:val="30"/>
          <w:szCs w:val="30"/>
          <w:highlight w:val="white"/>
          <w:rtl w:val="0"/>
        </w:rPr>
        <w:t xml:space="preserve"> during </w:t>
      </w:r>
      <w:r w:rsidDel="00000000" w:rsidR="00000000" w:rsidRPr="00000000">
        <w:rPr>
          <w:rFonts w:ascii="Times" w:cs="Times" w:eastAsia="Times" w:hAnsi="Times"/>
          <w:b w:val="1"/>
          <w:sz w:val="30"/>
          <w:szCs w:val="30"/>
          <w:highlight w:val="white"/>
          <w:rtl w:val="0"/>
        </w:rPr>
        <w:t xml:space="preserve">the Sabbatical and Jubilee Years, exile comes to the world ...</w:t>
      </w:r>
      <w:r w:rsidDel="00000000" w:rsidR="00000000" w:rsidRPr="00000000">
        <w:rPr>
          <w:rFonts w:ascii="Times" w:cs="Times" w:eastAsia="Times" w:hAnsi="Times"/>
          <w:sz w:val="30"/>
          <w:szCs w:val="30"/>
          <w:highlight w:val="white"/>
          <w:rtl w:val="0"/>
        </w:rPr>
        <w:t xml:space="preserve"> </w:t>
      </w:r>
      <w:r w:rsidDel="00000000" w:rsidR="00000000" w:rsidRPr="00000000">
        <w:rPr>
          <w:rFonts w:ascii="Times" w:cs="Times" w:eastAsia="Times" w:hAnsi="Times"/>
          <w:b w:val="1"/>
          <w:sz w:val="30"/>
          <w:szCs w:val="30"/>
          <w:highlight w:val="white"/>
          <w:rtl w:val="0"/>
        </w:rPr>
        <w:t xml:space="preserve">And it is written: “And the land was defiled, therefore I did visit the iniquity thereof upon it,</w:t>
      </w:r>
      <w:r w:rsidDel="00000000" w:rsidR="00000000" w:rsidRPr="00000000">
        <w:rPr>
          <w:rFonts w:ascii="Times" w:cs="Times" w:eastAsia="Times" w:hAnsi="Times"/>
          <w:sz w:val="30"/>
          <w:szCs w:val="30"/>
          <w:highlight w:val="white"/>
          <w:rtl w:val="0"/>
        </w:rPr>
        <w:t xml:space="preserve"> and the land expelled her inhabitants” (Leviticus 18:25).</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Fonts w:ascii="Times" w:cs="Times" w:eastAsia="Times" w:hAnsi="Times"/>
          <w:i w:val="1"/>
          <w:sz w:val="30"/>
          <w:szCs w:val="30"/>
          <w:highlight w:val="white"/>
          <w:rtl w:val="0"/>
        </w:rPr>
        <w:t xml:space="preserve">What does it mean for the whole world to be in exile? What does that have to do with Shmitah?</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sz w:val="30"/>
          <w:szCs w:val="30"/>
          <w:highlight w:val="white"/>
          <w:rtl w:val="0"/>
        </w:rPr>
        <w:t xml:space="preserve">The matter of Shmita and Yovel correspond to the way of acting, mentioned in the </w:t>
      </w:r>
      <w:r w:rsidDel="00000000" w:rsidR="00000000" w:rsidRPr="00000000">
        <w:rPr>
          <w:rFonts w:ascii="Times" w:cs="Times" w:eastAsia="Times" w:hAnsi="Times"/>
          <w:i w:val="1"/>
          <w:sz w:val="30"/>
          <w:szCs w:val="30"/>
          <w:highlight w:val="white"/>
          <w:rtl w:val="0"/>
        </w:rPr>
        <w:t xml:space="preserve">Pirkei Avot </w:t>
      </w:r>
      <w:r w:rsidDel="00000000" w:rsidR="00000000" w:rsidRPr="00000000">
        <w:rPr>
          <w:rFonts w:ascii="Times" w:cs="Times" w:eastAsia="Times" w:hAnsi="Times"/>
          <w:sz w:val="30"/>
          <w:szCs w:val="30"/>
          <w:highlight w:val="white"/>
          <w:rtl w:val="0"/>
        </w:rPr>
        <w:t xml:space="preserve">[Ethics of the Fathers, 5:10]: 'One who says "What's mine is yours, and what's yours is yours," this is a righteous person'.</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Fonts w:ascii="Times" w:cs="Times" w:eastAsia="Times" w:hAnsi="Times"/>
          <w:i w:val="1"/>
          <w:sz w:val="30"/>
          <w:szCs w:val="30"/>
          <w:highlight w:val="white"/>
          <w:rtl w:val="0"/>
        </w:rPr>
        <w:t xml:space="preserve">- Mea Shiloach (19th Century)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w:cs="Times" w:eastAsia="Times" w:hAnsi="Times"/>
          <w:i w:val="1"/>
          <w:sz w:val="30"/>
          <w:szCs w:val="30"/>
          <w:highlight w:val="whit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With gratitude to </w:t>
      </w:r>
      <w:hyperlink r:id="rId39">
        <w:r w:rsidDel="00000000" w:rsidR="00000000" w:rsidRPr="00000000">
          <w:rPr>
            <w:rFonts w:ascii="Times" w:cs="Times" w:eastAsia="Times" w:hAnsi="Times"/>
            <w:color w:val="000000"/>
            <w:sz w:val="24"/>
            <w:szCs w:val="24"/>
            <w:highlight w:val="white"/>
            <w:rtl w:val="0"/>
          </w:rPr>
          <w:t xml:space="preserve">Ris Golden-Sieradski</w:t>
        </w:r>
      </w:hyperlink>
      <w:r w:rsidDel="00000000" w:rsidR="00000000" w:rsidRPr="00000000">
        <w:rPr>
          <w:rFonts w:ascii="Times" w:cs="Times" w:eastAsia="Times" w:hAnsi="Times"/>
          <w:sz w:val="24"/>
          <w:szCs w:val="24"/>
          <w:highlight w:val="white"/>
          <w:rtl w:val="0"/>
        </w:rPr>
        <w:t xml:space="preserve"> and "We Will Return to You: A Jewish Sourcebook on Land, Agriculture, and Sustainability" created by the Kayam Farm @ Pearlstone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i w:val="1"/>
          <w:color w:val="333333"/>
        </w:rPr>
      </w:pPr>
      <w:r w:rsidDel="00000000" w:rsidR="00000000" w:rsidRPr="00000000">
        <w:rPr>
          <w:i w:val="1"/>
          <w:color w:val="999999"/>
          <w:rtl w:val="0"/>
        </w:rPr>
        <w:t xml:space="preserve">Source Sheet created on Sefaria by </w:t>
      </w:r>
      <w:hyperlink r:id="rId40">
        <w:r w:rsidDel="00000000" w:rsidR="00000000" w:rsidRPr="00000000">
          <w:rPr>
            <w:i w:val="1"/>
            <w:color w:val="333333"/>
            <w:rtl w:val="0"/>
          </w:rPr>
          <w:t xml:space="preserve">Daria Jacobs-Velde</w:t>
        </w:r>
      </w:hyperlink>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center"/>
        <w:rPr>
          <w:i w:val="1"/>
          <w:color w:val="333333"/>
          <w:sz w:val="18"/>
          <w:szCs w:val="18"/>
        </w:rPr>
      </w:pPr>
      <w:r w:rsidDel="00000000" w:rsidR="00000000" w:rsidRPr="00000000">
        <w:rPr>
          <w:i w:val="1"/>
          <w:color w:val="999999"/>
          <w:sz w:val="18"/>
          <w:szCs w:val="18"/>
          <w:rtl w:val="0"/>
        </w:rPr>
        <w:t xml:space="preserve">Based on </w:t>
      </w:r>
      <w:hyperlink r:id="rId41">
        <w:r w:rsidDel="00000000" w:rsidR="00000000" w:rsidRPr="00000000">
          <w:rPr>
            <w:i w:val="1"/>
            <w:color w:val="333333"/>
            <w:sz w:val="18"/>
            <w:szCs w:val="18"/>
            <w:rtl w:val="0"/>
          </w:rPr>
          <w:t xml:space="preserve">a sheet</w:t>
        </w:r>
      </w:hyperlink>
      <w:r w:rsidDel="00000000" w:rsidR="00000000" w:rsidRPr="00000000">
        <w:rPr>
          <w:i w:val="1"/>
          <w:color w:val="999999"/>
          <w:sz w:val="18"/>
          <w:szCs w:val="18"/>
          <w:rtl w:val="0"/>
        </w:rPr>
        <w:t xml:space="preserve"> by </w:t>
      </w:r>
      <w:hyperlink r:id="rId42">
        <w:r w:rsidDel="00000000" w:rsidR="00000000" w:rsidRPr="00000000">
          <w:rPr>
            <w:i w:val="1"/>
            <w:color w:val="333333"/>
            <w:sz w:val="18"/>
            <w:szCs w:val="18"/>
            <w:rtl w:val="0"/>
          </w:rPr>
          <w:t xml:space="preserve">Ris Golden-Sieradski</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sefaria.org/profile/daria-jacobs-velde" TargetMode="External"/><Relationship Id="rId20" Type="http://schemas.openxmlformats.org/officeDocument/2006/relationships/hyperlink" Target="https://www.sefaria.org/Exodus.23.9-11" TargetMode="External"/><Relationship Id="rId42" Type="http://schemas.openxmlformats.org/officeDocument/2006/relationships/hyperlink" Target="https://www.sefaria.org/profile/ris-golden-sieradski-" TargetMode="External"/><Relationship Id="rId41" Type="http://schemas.openxmlformats.org/officeDocument/2006/relationships/hyperlink" Target="https://www.sefaria.org/sheets/3649" TargetMode="External"/><Relationship Id="rId22" Type="http://schemas.openxmlformats.org/officeDocument/2006/relationships/hyperlink" Target="https://www.sefaria.org/Leviticus.25.1-7" TargetMode="External"/><Relationship Id="rId21" Type="http://schemas.openxmlformats.org/officeDocument/2006/relationships/hyperlink" Target="https://www.sefaria.org/Leviticus.25.1-7" TargetMode="External"/><Relationship Id="rId24" Type="http://schemas.openxmlformats.org/officeDocument/2006/relationships/hyperlink" Target="https://www.sefaria.org/Leviticus.25.1-7" TargetMode="External"/><Relationship Id="rId23" Type="http://schemas.openxmlformats.org/officeDocument/2006/relationships/hyperlink" Target="https://www.sefaria.org/Leviticus.25.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faria.org/Exodus.23.9-11" TargetMode="External"/><Relationship Id="rId26" Type="http://schemas.openxmlformats.org/officeDocument/2006/relationships/hyperlink" Target="https://www.sefaria.org/Leviticus.25.1-7" TargetMode="External"/><Relationship Id="rId25" Type="http://schemas.openxmlformats.org/officeDocument/2006/relationships/hyperlink" Target="https://www.sefaria.org/Leviticus.25.1-7" TargetMode="External"/><Relationship Id="rId28" Type="http://schemas.openxmlformats.org/officeDocument/2006/relationships/hyperlink" Target="https://www.sefaria.org/Leviticus.25.1-7" TargetMode="External"/><Relationship Id="rId27" Type="http://schemas.openxmlformats.org/officeDocument/2006/relationships/hyperlink" Target="https://www.sefaria.org/Leviticus.25.1-7" TargetMode="External"/><Relationship Id="rId5" Type="http://schemas.openxmlformats.org/officeDocument/2006/relationships/styles" Target="styles.xml"/><Relationship Id="rId6" Type="http://schemas.openxmlformats.org/officeDocument/2006/relationships/hyperlink" Target="https://www.sefaria.org/profile/daria-jacobs-velde" TargetMode="External"/><Relationship Id="rId29" Type="http://schemas.openxmlformats.org/officeDocument/2006/relationships/hyperlink" Target="https://www.sefaria.org/Leviticus.25.1-7" TargetMode="External"/><Relationship Id="rId7" Type="http://schemas.openxmlformats.org/officeDocument/2006/relationships/hyperlink" Target="https://www.sefaria.org/sheets/3649" TargetMode="External"/><Relationship Id="rId8" Type="http://schemas.openxmlformats.org/officeDocument/2006/relationships/hyperlink" Target="https://www.sefaria.org/profile/ris-golden-sieradski-" TargetMode="External"/><Relationship Id="rId31" Type="http://schemas.openxmlformats.org/officeDocument/2006/relationships/hyperlink" Target="https://www.sefaria.org/Leviticus.25.1-7" TargetMode="External"/><Relationship Id="rId30" Type="http://schemas.openxmlformats.org/officeDocument/2006/relationships/hyperlink" Target="https://www.sefaria.org/Leviticus.25.1-7" TargetMode="External"/><Relationship Id="rId11" Type="http://schemas.openxmlformats.org/officeDocument/2006/relationships/hyperlink" Target="https://www.sefaria.org/Exodus.23.9-11" TargetMode="External"/><Relationship Id="rId33" Type="http://schemas.openxmlformats.org/officeDocument/2006/relationships/hyperlink" Target="https://www.sefaria.org/Deuteronomy.15" TargetMode="External"/><Relationship Id="rId10" Type="http://schemas.openxmlformats.org/officeDocument/2006/relationships/hyperlink" Target="https://www.sefaria.org/Exodus.23.9-11" TargetMode="External"/><Relationship Id="rId32" Type="http://schemas.openxmlformats.org/officeDocument/2006/relationships/hyperlink" Target="https://www.sefaria.org/Deuteronomy.15" TargetMode="External"/><Relationship Id="rId13" Type="http://schemas.openxmlformats.org/officeDocument/2006/relationships/hyperlink" Target="https://www.sefaria.org/Exodus.23.9-11" TargetMode="External"/><Relationship Id="rId35" Type="http://schemas.openxmlformats.org/officeDocument/2006/relationships/hyperlink" Target="https://www.sefaria.org/Deuteronomy.15" TargetMode="External"/><Relationship Id="rId12" Type="http://schemas.openxmlformats.org/officeDocument/2006/relationships/hyperlink" Target="https://www.sefaria.org/Exodus.23.9-11" TargetMode="External"/><Relationship Id="rId34" Type="http://schemas.openxmlformats.org/officeDocument/2006/relationships/hyperlink" Target="https://www.sefaria.org/Deuteronomy.15" TargetMode="External"/><Relationship Id="rId15" Type="http://schemas.openxmlformats.org/officeDocument/2006/relationships/hyperlink" Target="https://www.sefaria.org/Exodus.23.9-11" TargetMode="External"/><Relationship Id="rId37" Type="http://schemas.openxmlformats.org/officeDocument/2006/relationships/hyperlink" Target="https://www.sefaria.org/Deuteronomy.15" TargetMode="External"/><Relationship Id="rId14" Type="http://schemas.openxmlformats.org/officeDocument/2006/relationships/hyperlink" Target="https://www.sefaria.org/Exodus.23.9-11" TargetMode="External"/><Relationship Id="rId36" Type="http://schemas.openxmlformats.org/officeDocument/2006/relationships/hyperlink" Target="https://www.sefaria.org/Deuteronomy.15" TargetMode="External"/><Relationship Id="rId17" Type="http://schemas.openxmlformats.org/officeDocument/2006/relationships/hyperlink" Target="https://www.sefaria.org/Exodus.23.9-11" TargetMode="External"/><Relationship Id="rId39" Type="http://schemas.openxmlformats.org/officeDocument/2006/relationships/hyperlink" Target="http://docs.google.com/undefined" TargetMode="External"/><Relationship Id="rId16" Type="http://schemas.openxmlformats.org/officeDocument/2006/relationships/hyperlink" Target="https://www.sefaria.org/Exodus.23.9-11" TargetMode="External"/><Relationship Id="rId38" Type="http://schemas.openxmlformats.org/officeDocument/2006/relationships/hyperlink" Target="https://www.sefaria.org/Shabbat.33a.5" TargetMode="External"/><Relationship Id="rId19" Type="http://schemas.openxmlformats.org/officeDocument/2006/relationships/hyperlink" Target="https://www.sefaria.org/Exodus.23.9-11" TargetMode="External"/><Relationship Id="rId18" Type="http://schemas.openxmlformats.org/officeDocument/2006/relationships/hyperlink" Target="https://www.sefaria.org/Exodus.23.9-1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